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22.09.2021 N 652н</w:t>
              <w:br/>
              <w:t xml:space="preserve">"Об утверждении профессионального стандарта "Педагог дополнительного образования детей и взрослых"</w:t>
              <w:br/>
              <w:t xml:space="preserve">(Зарегистрировано в Минюсте России 17.12.2021 N 66403)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17 декабря 2021 г. N 66403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сентября 2021 г. N 652н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ПРОФЕССИОНАЛЬНОГО СТАНДАРТА</w:t>
      </w:r>
    </w:p>
    <w:p>
      <w:pPr>
        <w:pStyle w:val="2"/>
        <w:jc w:val="center"/>
      </w:pPr>
      <w:r>
        <w:rPr>
          <w:sz w:val="20"/>
        </w:rPr>
        <w:t xml:space="preserve">"ПЕДАГОГ ДОПОЛНИТЕЛЬНОГО ОБРАЗОВАНИЯ ДЕТЕЙ И ВЗРОСЛЫХ"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профессиональный </w:t>
      </w:r>
      <w:hyperlink w:history="0" w:anchor="P30" w:tooltip="ПРОФЕССИОН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"Педагог дополнительного образования детей и взрослых".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5 мая 2018 г. N 298н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28 августа 2018 г., регистрационный N 52016).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настоящий приказ вступает в силу с 1 сентября 2022 г.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сентября 2021 г. N 652н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ПРОФЕССИОНАЛЬНЫЙ СТАНДАРТ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ПЕДАГОГ ДОПОЛНИТЕЛЬНОГО ОБРАЗОВАНИЯ ДЕТЕЙ И ВЗРОСЛЫХ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708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both"/>
      </w:pPr>
      <w:r>
        <w:rPr>
          <w:sz w:val="20"/>
        </w:rPr>
        <w:t xml:space="preserve">I.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340"/>
        <w:gridCol w:w="1361"/>
      </w:tblGrid>
      <w:tr>
        <w:tblPrEx>
          <w:tblBorders>
            <w:right w:val="single" w:sz="4"/>
          </w:tblBorders>
        </w:tblPrEx>
        <w:tc>
          <w:tcPr>
            <w:tcW w:w="73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</w:tr>
      <w:tr>
        <w:tc>
          <w:tcPr>
            <w:tcW w:w="73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Основная цель вида профессиональной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Группа занятий: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721"/>
        <w:gridCol w:w="1361"/>
        <w:gridCol w:w="3231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1757" w:type="dxa"/>
          </w:tcPr>
          <w:p>
            <w:pPr>
              <w:pStyle w:val="0"/>
            </w:pPr>
            <w:hyperlink w:history="0" r:id="rId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2351</w:t>
              </w:r>
            </w:hyperlink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Специалисты по методике обучения</w:t>
            </w:r>
          </w:p>
        </w:tc>
        <w:tc>
          <w:tcPr>
            <w:tcW w:w="1361" w:type="dxa"/>
          </w:tcPr>
          <w:p>
            <w:pPr>
              <w:pStyle w:val="0"/>
            </w:pPr>
            <w:hyperlink w:history="0" r:id="rId10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2357</w:t>
              </w:r>
            </w:hyperlink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Преподаватели по программам дополнительного обучения</w:t>
            </w:r>
          </w:p>
        </w:tc>
      </w:tr>
      <w:tr>
        <w:tc>
          <w:tcPr>
            <w:tcW w:w="17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1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969" w:tooltip="&lt;1&gt; Общероссийский классификатор занятий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2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Отнесение к видам экономической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6973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2098" w:type="dxa"/>
          </w:tcPr>
          <w:p>
            <w:pPr>
              <w:pStyle w:val="0"/>
              <w:jc w:val="both"/>
            </w:pPr>
      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 дополнительное детей и взрослых</w:t>
            </w:r>
          </w:p>
        </w:tc>
      </w:tr>
      <w:tr>
        <w:tc>
          <w:tcPr>
            <w:tcW w:w="2098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(код </w:t>
            </w:r>
      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</w:t>
            </w:r>
            <w:hyperlink w:history="0" w:anchor="P970" w:tooltip="&lt;2&gt; Общероссийский классификатор видов экономической деятельност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6973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Описание трудовых функций, входящих</w:t>
      </w:r>
    </w:p>
    <w:p>
      <w:pPr>
        <w:pStyle w:val="2"/>
        <w:jc w:val="center"/>
      </w:pPr>
      <w:r>
        <w:rPr>
          <w:sz w:val="20"/>
        </w:rPr>
        <w:t xml:space="preserve">в профессиональный стандарт (функциональная карта вида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1020"/>
        <w:gridCol w:w="3288"/>
        <w:gridCol w:w="907"/>
        <w:gridCol w:w="1020"/>
      </w:tblGrid>
      <w:tr>
        <w:tc>
          <w:tcPr>
            <w:gridSpan w:val="3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Обобщенные трудовые функции</w:t>
            </w:r>
          </w:p>
        </w:tc>
        <w:tc>
          <w:tcPr>
            <w:gridSpan w:val="3"/>
            <w:tcW w:w="5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Трудовые функции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Преподавание по дополнительным общеобразовательным программам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A/03.6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A/04.6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A/05.6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B/03.6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досуговых мероприятий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C/01.6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C/02.6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C/03.6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3.1.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Преподавание по дополнительным общеобразовательным программам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педагог дополнительного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Тренер-преподаватель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тренер-преподаватель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Преподаватель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лет в должности педагога дополнительного образования, иной должности педагогического работника - для старшего педагога дополнительного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двух лет в должности тренера-преподавателя или педагога дополнительного образования соответствующей направленности - для старшего тренера-преподавателя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history="0" w:anchor="P971" w:tooltip="&lt;3&gt; Статьи 331, 351.1 Трудового кодекса Российской Федерации (Собрание законодательства Российской Федерации, 2002, N 1, ст. 308; 2015, N 29, ст. 4363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 </w:t>
            </w:r>
            <w:hyperlink w:history="0" w:anchor="P972" w:tooltip="&lt;4&gt; Приказ Минтруда России, Минздрава России от 31 декабря 2020 г. N 988н/1420н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 Минюстом России 29 января 2021 г., регистрационный N 62278); приказ Минздрава России от 28 января 2021 г. N 29н &quot;Об утверждении Порядка проведения обязательных предварительных и перио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      </w:r>
            <w:hyperlink w:history="0" w:anchor="P494" w:tooltip="3.2. Обобщенная трудовая функция">
              <w:r>
                <w:rPr>
                  <w:sz w:val="20"/>
                  <w:color w:val="0000ff"/>
                </w:rPr>
                <w:t xml:space="preserve">B</w:t>
              </w:r>
            </w:hyperlink>
            <w:r>
              <w:rPr>
                <w:sz w:val="20"/>
              </w:rPr>
              <w:t xml:space="preserve"> "Организационно-методическое обеспечение реализации дополнительных общеобразовательных программ" и </w:t>
            </w:r>
            <w:hyperlink w:history="0" w:anchor="P714" w:tooltip="3.3. Обобщенная трудовая функция">
              <w:r>
                <w:rPr>
                  <w:sz w:val="20"/>
                  <w:color w:val="0000ff"/>
                </w:rPr>
                <w:t xml:space="preserve">C</w:t>
              </w:r>
            </w:hyperlink>
            <w:r>
              <w:rPr>
                <w:sz w:val="20"/>
              </w:rP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должности "Тренер-преподаватель" используется при реализации дополнительных предпрофессиональных образовательных программ в области физической культуры и 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      </w:r>
            <w:hyperlink w:history="0" w:anchor="P494" w:tooltip="3.2. Обобщенная трудовая функция">
              <w:r>
                <w:rPr>
                  <w:sz w:val="20"/>
                  <w:color w:val="0000ff"/>
                </w:rPr>
                <w:t xml:space="preserve">B</w:t>
              </w:r>
            </w:hyperlink>
            <w:r>
              <w:rPr>
                <w:sz w:val="20"/>
              </w:rPr>
              <w:t xml:space="preserve"> "Организационно-методическое обеспечение реализации дополнительных общеобразовательных программ" и </w:t>
            </w:r>
            <w:hyperlink w:history="0" w:anchor="P714" w:tooltip="3.3. Обобщенная трудовая функция">
              <w:r>
                <w:rPr>
                  <w:sz w:val="20"/>
                  <w:color w:val="0000ff"/>
                </w:rPr>
                <w:t xml:space="preserve">C</w:t>
              </w:r>
            </w:hyperlink>
            <w:r>
              <w:rPr>
                <w:sz w:val="20"/>
              </w:rP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должности "Преподаватель"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304"/>
        <w:gridCol w:w="5953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hyperlink w:history="0" r:id="rId1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16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2357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Преподаватели по программам дополнительного обучения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hyperlink w:history="0" r:id="rId17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ЕКС</w:t>
              </w:r>
            </w:hyperlink>
            <w:r>
              <w:rPr>
                <w:sz w:val="20"/>
              </w:rPr>
              <w:t xml:space="preserve"> </w:t>
            </w:r>
            <w:hyperlink w:history="0" w:anchor="P973" w:tooltip="&lt;5&gt; Единый квалификационный справочник должностей руководителей, специалистов и служащих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 дополнительного образования (включая старшего)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Тренер-преподаватель (включая старшего)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  <w:r>
              <w:rPr>
                <w:sz w:val="20"/>
              </w:rPr>
              <w:t xml:space="preserve"> </w:t>
            </w:r>
            <w:hyperlink w:history="0" w:anchor="P974" w:tooltip="&lt;6&gt; Общероссийский классификатор профессий рабочих, должностей служащих и тарифных разрядов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25478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27168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Тренер - преподаватель по спорту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hyperlink w:history="0" r:id="rId21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 </w:t>
            </w:r>
            <w:hyperlink w:history="0" w:anchor="P975" w:tooltip="&lt;7&gt; Общероссийский классификатор специальностей по образованию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2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6.44.02.03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на обучение по дополнительной общеразвивающей программе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Организация, в том числе стимулирование и мотивация, деятельности и общения обучающихся на учебных занятиях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Текущий контроль, помощь обучающимся в коррекции деятельности и поведения на занятиях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деятельность, соответствующую дополнительной общеобразовательной программе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Понимать мотивы поведения, образовательные потребности и запросы обучающихся и их родителей (законных представителей)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 и особенностей образовательной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возрастных особенностей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(далее - ИКТ), электронные образовательные и информационные ресурсы) с учетом: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избранной области деятельности и задач дополнительной общеобразовательной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требования охраны труда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и приемы представления дополнительной общеобразовательной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требования (далее - 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history="0" w:anchor="P976" w:tooltip="&lt;8&gt; Федеральный закон от 29 декабря 2012 г. N 273-ФЗ &quot;Об образовании в Российской Федерации&quot; (Собрание законодательства Российской Федерации, 2012, N 53, ст. 7598; 2021, N 27, ст. 5179)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Электронные ресурсы, необходимые для организации различных видов деятельности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в избранной области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23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 </w:t>
            </w:r>
            <w:hyperlink w:history="0" w:anchor="P977" w:tooltip="&lt;9&gt; Постановление Верховного Совета СССР от 13 июня 1990 г. N 1559-1 &quot;О ратификации Конвенции о правах ребенка&quot; (Ведомости СНД и ВС СССР, 1991, N 26, ст. 497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 подготовки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досуговых мероприятий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мероприятия для обучающихся с ограниченными возможностями здоровья и с их участием;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профориентационные возможности досуговой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требования охраны труда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24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3.1.3.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A/03.6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 взаимодействия с родителями (законными представителями)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совместной деятельности детей и взрослых при проведении занятий 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25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3.1.4.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A/04.6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 интерпретация результатов педагогического контроля и оценки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корректировать собственную оценочную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26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года, нормы педагогической этики при публичном представлении результатов оценивания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3.1.5.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A/05.6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 и особенностей образовательной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особенностей группы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специфики инклюзивного подхода в образовании (при его реализации);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санитарно-гигиенических норм и требований охраны жизни и здоровья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отчетные (отчетно-аналитические) и информационные материалы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выявления интересов обучающихся (детей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ФГТ (для преподавания по дополнительным предпрофессиональным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27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года.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Возможности использования ИКТ для ведения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2"/>
        <w:outlineLvl w:val="2"/>
        <w:jc w:val="both"/>
      </w:pPr>
      <w:r>
        <w:rPr>
          <w:sz w:val="20"/>
        </w:rPr>
        <w:t xml:space="preserve">3.2.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Старший методист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двух лет в должности методиста или в должности педагога дополнительного образования, иной должности педагогического работника - для старшего методиста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304"/>
        <w:gridCol w:w="5953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hyperlink w:history="0" r:id="rId2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both"/>
            </w:pPr>
            <w:hyperlink w:history="0" r:id="rId29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2351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Специалисты по методике обучения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hyperlink w:history="0" r:id="rId30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ЕКС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(включая старшего)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  <w:jc w:val="both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both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24080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both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24086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внешкольного учреждения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both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24089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образовательного учреждения, методического, учебно-методического кабинета (центра), фильмотеки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  <w:jc w:val="both"/>
            </w:pPr>
            <w:hyperlink w:history="0" r:id="rId35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both"/>
            </w:pPr>
            <w:hyperlink w:history="0" r:id="rId36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6.44.02.03</w:t>
              </w:r>
            </w:hyperlink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Любые направления подготовки и специальности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3.2.1.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(или) проведение изучения рынка услуг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оптимизацию затрат на проведение исследования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апробацию разработанного инструментария исследования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инструментарий исследования, различные формы и средства взаимодействия с респондентами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Теория и практика маркетинговых исследований в образовании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основы маркетинговых исследований в образовании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Тенденции развития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образовательные технологии дополнительного образования детей и взрослых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3.2.2.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и оценка качества программно-методической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педагогов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качество разрабатываемых материалов на соответствие: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порядку организации и осуществления образовательной деятельности по дополнительным общеобразовательным программам;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современным теоретическим и методическим подходам к разработке и реализации дополнительных 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требованиям охраны труда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обсуждение и обсуждать методические вопросы с педагогическими работниками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Методологические и теоретические основы современного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и перспективы развития системы дополнительного образования в Российской Федерации и мире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построения компетентностно-ориентрованного образовательного процесса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Стадии профессионального развития педагогических работников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3.2.3.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B/03.6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Посещение и анализ занятий и досуговых мероприятий, проводимых педагогическими работниками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рекомендаций по совершенствованию качества образовательного процесса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занятия и досуговые мероприятия, обсуждать их в диалоге с педагогическими работниками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Методологические и теоретические основы современного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и перспективы развития системы дополнительного образования в Российской Федерации и мире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построения компетентностно-ориентрованного образовательного процесса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Стадии профессионального развития педагогических работников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14" w:name="P714"/>
    <w:bookmarkEnd w:id="714"/>
    <w:p>
      <w:pPr>
        <w:pStyle w:val="2"/>
        <w:outlineLvl w:val="2"/>
        <w:jc w:val="both"/>
      </w:pPr>
      <w:r>
        <w:rPr>
          <w:sz w:val="20"/>
        </w:rPr>
        <w:t xml:space="preserve">3.3.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Педагог-организатор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Прохождение обязательных предварительных и периодических медицинских осмотров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304"/>
        <w:gridCol w:w="5953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hyperlink w:history="0" r:id="rId37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3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2357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Преподаватели по программам дополнительного обучения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hyperlink w:history="0" r:id="rId39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ЕКС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Педагог-организатор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25481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Педагог-организатор</w:t>
            </w:r>
          </w:p>
        </w:tc>
      </w:tr>
      <w:tr>
        <w:tc>
          <w:tcPr>
            <w:tcW w:w="1814" w:type="dxa"/>
            <w:vMerge w:val="restart"/>
          </w:tcPr>
          <w:p>
            <w:pPr>
              <w:pStyle w:val="0"/>
            </w:pPr>
            <w:hyperlink w:history="0" r:id="rId42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</w:p>
        </w:tc>
        <w:tc>
          <w:tcPr>
            <w:tcW w:w="1304" w:type="dxa"/>
          </w:tcPr>
          <w:p>
            <w:pPr>
              <w:pStyle w:val="0"/>
            </w:pPr>
            <w:hyperlink w:history="0" r:id="rId43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6.44.02.03</w:t>
              </w:r>
            </w:hyperlink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Любые направления подготовки и специальности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3.3.1.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досуговых мероприятий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C/01.6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 массовых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сценариев досуговых мероприятий, в том числе конкурсов, олимпиад, соревнований, выставок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документационного обеспечения проведения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 подготовки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организации досуговой деятельности и отдельных мероприятий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поддерживать социально значимые инициативы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репетиции;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координировать деятельность педагогических работников, объединений обучающихся при подготовке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роль ведущего досуговых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привлекать к участию в мероприятиях одаренных детей и детей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профориентационные возможности досуговой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требования охраны труда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в области защиты прав и законных интересов ребенка, включая </w:t>
            </w:r>
            <w:hyperlink w:history="0" r:id="rId44" w:tooltip="&quot;Конвенция о правах ребенка&quot; (одобрена Генеральной Ассамблеей ООН 20.11.1989) (вступила в силу для СССР 15.09.1990) {КонсультантПлюс}">
              <w:r>
                <w:rPr>
                  <w:sz w:val="20"/>
                  <w:color w:val="0000ff"/>
                </w:rPr>
                <w:t xml:space="preserve">Конвенцию</w:t>
              </w:r>
            </w:hyperlink>
            <w:r>
              <w:rPr>
                <w:sz w:val="20"/>
              </w:rPr>
              <w:t xml:space="preserve"> о правах ребенка 1989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внебюджетных средств, источники их поступления и направления использования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3.3.2.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C/02.6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набора и комплектования групп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 мероприятия для привлечения потенциального контингента обучающихся различного возраста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и характеристики предлагаемых к освоению дополнительных общеобразовательных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вовлечения в деятельность и поддержания интереса к ней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both"/>
      </w:pPr>
      <w:r>
        <w:rPr>
          <w:sz w:val="20"/>
        </w:rPr>
        <w:t xml:space="preserve">3.3.3.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572"/>
        <w:gridCol w:w="737"/>
        <w:gridCol w:w="854"/>
        <w:gridCol w:w="1644"/>
        <w:gridCol w:w="624"/>
      </w:tblGrid>
      <w:tr>
        <w:tc>
          <w:tcPr>
            <w:tcW w:w="164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C/03.6</w:t>
            </w:r>
          </w:p>
        </w:tc>
        <w:tc>
          <w:tcPr>
            <w:tcW w:w="16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200"/>
        <w:gridCol w:w="510"/>
        <w:gridCol w:w="1814"/>
        <w:gridCol w:w="1191"/>
        <w:gridCol w:w="2268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20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510" w:type="dxa"/>
            <w:vAlign w:val="center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Изучать рынок дополнительных образовательных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Положения законодательства Российской Федерации и нормативные правовые акты субъектов Российской Федерации, регламентирующие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Методологические основы современного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построения компетентностно-ориентированного образовательного процесса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Стадии профессионального развития педагогических работников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>
        <w:tc>
          <w:tcPr>
            <w:vMerge w:val="continue"/>
          </w:tcPr>
          <w:p/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обеспечения безопасности жизни и здоровья обучающихся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Сведения об организациях - разработчиках</w:t>
      </w:r>
    </w:p>
    <w:p>
      <w:pPr>
        <w:pStyle w:val="2"/>
        <w:jc w:val="center"/>
      </w:pPr>
      <w:r>
        <w:rPr>
          <w:sz w:val="20"/>
        </w:rPr>
        <w:t xml:space="preserve">профессионального стандарта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4.1. Ответственная организация-разработчик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7"/>
        <w:gridCol w:w="4334"/>
      </w:tblGrid>
      <w:tr>
        <w:tc>
          <w:tcPr>
            <w:gridSpan w:val="2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ДПО Ярославской области "Институт развития образования"</w:t>
            </w:r>
          </w:p>
        </w:tc>
      </w:tr>
      <w:tr>
        <w:tc>
          <w:tcPr>
            <w:tcW w:w="4737" w:type="dxa"/>
            <w:tcBorders>
              <w:left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</w:t>
            </w:r>
          </w:p>
        </w:tc>
        <w:tc>
          <w:tcPr>
            <w:tcW w:w="4334" w:type="dxa"/>
            <w:tcBorders>
              <w:left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Золотарева Ангелина Викторовна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7"/>
        <w:gridCol w:w="4334"/>
      </w:tblGrid>
      <w:tr>
        <w:tc>
          <w:tcPr>
            <w:gridSpan w:val="2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ФГАУ "Федеральный институт развития образования", город Москва</w:t>
            </w:r>
          </w:p>
        </w:tc>
      </w:tr>
      <w:tr>
        <w:tc>
          <w:tcPr>
            <w:tcW w:w="4737" w:type="dxa"/>
            <w:tcBorders>
              <w:left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4334" w:type="dxa"/>
            <w:tcBorders>
              <w:left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Асмолов Александр Григорьевич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both"/>
      </w:pPr>
      <w:r>
        <w:rPr>
          <w:sz w:val="20"/>
        </w:rPr>
        <w:t xml:space="preserve">4.2. Наименования организаций-разработчиков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 "Национальное агентство развития квалификаций", город Москва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 "Центр развития образования и сертификации персонала "Универсум", город Челябинск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 нетиповое ОУ Республики Саха (Якутия) "Республиканский ресурсный центр "Юные якутяне", город Якутск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ГБОУ ДО детей Архангельской области "Дворец детского и юношеского творчества", город Архангельск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ГБОУ ДПО "Челябинский институт переподготовки и повышения квалификации работников образования", город Челябинск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Краевое ГБОУ ДПО "Алтайский краевой институт повышения квалификации работников образования", город Барнаул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ОГОУ ДПО "Иркутский институт повышения квалификации работников образования", город Иркутск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Тамбовское областное ГОАУ ДПО "Институт повышения квалификации работников образования", город Тамбов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ФГБОУ ДПО "Институт развития дополнительного профессионального образования", город Москва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9" w:name="P969"/>
    <w:bookmarkEnd w:id="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Общероссийский </w:t>
      </w:r>
      <w:hyperlink w:history="0" r:id="rId45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занятий.</w:t>
      </w:r>
    </w:p>
    <w:bookmarkStart w:id="970" w:name="P970"/>
    <w:bookmarkEnd w:id="9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Общероссийский </w:t>
      </w:r>
      <w:hyperlink w:history="0"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видов экономической деятельности.</w:t>
      </w:r>
    </w:p>
    <w:bookmarkStart w:id="971" w:name="P971"/>
    <w:bookmarkEnd w:id="9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7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Статьи 331</w:t>
        </w:r>
      </w:hyperlink>
      <w:r>
        <w:rPr>
          <w:sz w:val="20"/>
        </w:rPr>
        <w:t xml:space="preserve">, </w:t>
      </w:r>
      <w:hyperlink w:history="0" r:id="rId48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351.1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308; 2015, N 29, ст. 4363).</w:t>
      </w:r>
    </w:p>
    <w:bookmarkStart w:id="972" w:name="P972"/>
    <w:bookmarkEnd w:id="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9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w:history="0" r:id="rId5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bookmarkStart w:id="973" w:name="P973"/>
    <w:bookmarkEnd w:id="9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Единый квалификационный </w:t>
      </w:r>
      <w:hyperlink w:history="0" r:id="rId51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справочник</w:t>
        </w:r>
      </w:hyperlink>
      <w:r>
        <w:rPr>
          <w:sz w:val="20"/>
        </w:rPr>
        <w:t xml:space="preserve"> должностей руководителей, специалистов и служащих.</w:t>
      </w:r>
    </w:p>
    <w:bookmarkStart w:id="974" w:name="P974"/>
    <w:bookmarkEnd w:id="9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Общероссийский </w:t>
      </w:r>
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профессий рабочих, должностей служащих и тарифных разрядов.</w:t>
      </w:r>
    </w:p>
    <w:bookmarkStart w:id="975" w:name="P975"/>
    <w:bookmarkEnd w:id="9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Общероссийский </w:t>
      </w:r>
      <w:hyperlink w:history="0" r:id="rId53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по образованию.</w:t>
      </w:r>
    </w:p>
    <w:bookmarkStart w:id="976" w:name="P976"/>
    <w:bookmarkEnd w:id="9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5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2021, N 27, ст. 5179).</w:t>
      </w:r>
    </w:p>
    <w:bookmarkStart w:id="977" w:name="P977"/>
    <w:bookmarkEnd w:id="9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Верховного Совета СССР от 13 июня 1990 г. N 1559-1 "О ратификации Конвенции о правах ребенка" (Ведомости СНД и ВС СССР, 1991, N 26, ст. 497).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22.09.2021 N 652н</w:t>
            <w:br/>
            <w:t>"Об утверждении профессионального стандарта "Педагог дополнительного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6D6F719434A6F99232E1D4D02B557FA03018A3748326D635DC19E94DA72ACC357A6A9D906CFDF8BD04A8270479DF61A6E961W1i8N" TargetMode = "External"/>
	<Relationship Id="rId8" Type="http://schemas.openxmlformats.org/officeDocument/2006/relationships/hyperlink" Target="consultantplus://offline/ref=846D6F719434A6F99232E1D4D02B557FA03914AE768326D635DC19E94DA72ACC277A3299993DB2BDE817A82218W7iAN" TargetMode = "External"/>
	<Relationship Id="rId9" Type="http://schemas.openxmlformats.org/officeDocument/2006/relationships/hyperlink" Target="consultantplus://offline/ref=846D6F719434A6F99232E1D4D02B557FA03117A5758D26D635DC19E94DA72ACC357A6A959B38A8B9EA02FE735E2DD27DA1F7621A3525A37FWDiFN" TargetMode = "External"/>
	<Relationship Id="rId10" Type="http://schemas.openxmlformats.org/officeDocument/2006/relationships/hyperlink" Target="consultantplus://offline/ref=846D6F719434A6F99232E1D4D02B557FA03117A5758D26D635DC19E94DA72ACC357A6A959B38A8BBE802FE735E2DD27DA1F7621A3525A37FWDiFN" TargetMode = "External"/>
	<Relationship Id="rId11" Type="http://schemas.openxmlformats.org/officeDocument/2006/relationships/hyperlink" Target="consultantplus://offline/ref=846D6F719434A6F99232E1D4D02B557FA03117A5758D26D635DC19E94DA72ACC277A3299993DB2BDE817A82218W7iAN" TargetMode = "External"/>
	<Relationship Id="rId12" Type="http://schemas.openxmlformats.org/officeDocument/2006/relationships/hyperlink" Target="consultantplus://offline/ref=846D6F719434A6F99232E1D4D02B557FA03117A5758D26D635DC19E94DA72ACC277A3299993DB2BDE817A82218W7iAN" TargetMode = "External"/>
	<Relationship Id="rId13" Type="http://schemas.openxmlformats.org/officeDocument/2006/relationships/hyperlink" Target="consultantplus://offline/ref=846D6F719434A6F99232E1D4D02B557FA73B19AF738E26D635DC19E94DA72ACC357A6A959B3DAFBAE902FE735E2DD27DA1F7621A3525A37FWDiFN" TargetMode = "External"/>
	<Relationship Id="rId14" Type="http://schemas.openxmlformats.org/officeDocument/2006/relationships/hyperlink" Target="consultantplus://offline/ref=846D6F719434A6F99232E1D4D02B557FA73B19AF738E26D635DC19E94DA72ACC277A3299993DB2BDE817A82218W7iAN" TargetMode = "External"/>
	<Relationship Id="rId15" Type="http://schemas.openxmlformats.org/officeDocument/2006/relationships/hyperlink" Target="consultantplus://offline/ref=846D6F719434A6F99232E1D4D02B557FA03117A5758D26D635DC19E94DA72ACC277A3299993DB2BDE817A82218W7iAN" TargetMode = "External"/>
	<Relationship Id="rId16" Type="http://schemas.openxmlformats.org/officeDocument/2006/relationships/hyperlink" Target="consultantplus://offline/ref=846D6F719434A6F99232E1D4D02B557FA03117A5758D26D635DC19E94DA72ACC357A6A959B38A8BBE802FE735E2DD27DA1F7621A3525A37FWDiFN" TargetMode = "External"/>
	<Relationship Id="rId17" Type="http://schemas.openxmlformats.org/officeDocument/2006/relationships/hyperlink" Target="consultantplus://offline/ref=846D6F719434A6F99232E1D4D02B557FAA3E12A17E817BDC3D8515EB4AA875C9326B6A969E26ADBCF60BAA20W1i8N" TargetMode = "External"/>
	<Relationship Id="rId18" Type="http://schemas.openxmlformats.org/officeDocument/2006/relationships/hyperlink" Target="consultantplus://offline/ref=846D6F719434A6F99232E1D4D02B557FA23A14AF7F8C26D635DC19E94DA72ACC357A6A959B38ACBDE802FE735E2DD27DA1F7621A3525A37FWDiFN" TargetMode = "External"/>
	<Relationship Id="rId19" Type="http://schemas.openxmlformats.org/officeDocument/2006/relationships/hyperlink" Target="consultantplus://offline/ref=846D6F719434A6F99232E1D4D02B557FA23A14AF7F8C26D635DC19E94DA72ACC357A6A959B3EA5BEEC02FE735E2DD27DA1F7621A3525A37FWDiFN" TargetMode = "External"/>
	<Relationship Id="rId20" Type="http://schemas.openxmlformats.org/officeDocument/2006/relationships/hyperlink" Target="consultantplus://offline/ref=846D6F719434A6F99232E1D4D02B557FA23A14AF7F8C26D635DC19E94DA72ACC357A6A959B3FAFB8E102FE735E2DD27DA1F7621A3525A37FWDiFN" TargetMode = "External"/>
	<Relationship Id="rId21" Type="http://schemas.openxmlformats.org/officeDocument/2006/relationships/hyperlink" Target="consultantplus://offline/ref=846D6F719434A6F99232E1D4D02B557FA13813A4768A26D635DC19E94DA72ACC277A3299993DB2BDE817A82218W7iAN" TargetMode = "External"/>
	<Relationship Id="rId22" Type="http://schemas.openxmlformats.org/officeDocument/2006/relationships/hyperlink" Target="consultantplus://offline/ref=846D6F719434A6F99232E1D4D02B557FA13813A4768A26D635DC19E94DA72ACC357A6A959B3AAFB9E102FE735E2DD27DA1F7621A3525A37FWDiFN" TargetMode = "External"/>
	<Relationship Id="rId23" Type="http://schemas.openxmlformats.org/officeDocument/2006/relationships/hyperlink" Target="consultantplus://offline/ref=846D6F719434A6F99232E1D4D02B557FAA3014AF7DDC71D4648917EC45F770DC233365918539ACA2EA09A8W2i0N" TargetMode = "External"/>
	<Relationship Id="rId24" Type="http://schemas.openxmlformats.org/officeDocument/2006/relationships/hyperlink" Target="consultantplus://offline/ref=846D6F719434A6F99232E1D4D02B557FAA3014AF7DDC71D4648917EC45F770DC233365918539ACA2EA09A8W2i0N" TargetMode = "External"/>
	<Relationship Id="rId25" Type="http://schemas.openxmlformats.org/officeDocument/2006/relationships/hyperlink" Target="consultantplus://offline/ref=846D6F719434A6F99232E1D4D02B557FAA3014AF7DDC71D4648917EC45F770DC233365918539ACA2EA09A8W2i0N" TargetMode = "External"/>
	<Relationship Id="rId26" Type="http://schemas.openxmlformats.org/officeDocument/2006/relationships/hyperlink" Target="consultantplus://offline/ref=846D6F719434A6F99232E1D4D02B557FAA3014AF7DDC71D4648917EC45F770DC233365918539ACA2EA09A8W2i0N" TargetMode = "External"/>
	<Relationship Id="rId27" Type="http://schemas.openxmlformats.org/officeDocument/2006/relationships/hyperlink" Target="consultantplus://offline/ref=846D6F719434A6F99232E1D4D02B557FAA3014AF7DDC71D4648917EC45F770DC233365918539ACA2EA09A8W2i0N" TargetMode = "External"/>
	<Relationship Id="rId28" Type="http://schemas.openxmlformats.org/officeDocument/2006/relationships/hyperlink" Target="consultantplus://offline/ref=846D6F719434A6F99232E1D4D02B557FA03117A5758D26D635DC19E94DA72ACC277A3299993DB2BDE817A82218W7iAN" TargetMode = "External"/>
	<Relationship Id="rId29" Type="http://schemas.openxmlformats.org/officeDocument/2006/relationships/hyperlink" Target="consultantplus://offline/ref=846D6F719434A6F99232E1D4D02B557FA03117A5758D26D635DC19E94DA72ACC357A6A959B38A8B9EA02FE735E2DD27DA1F7621A3525A37FWDiFN" TargetMode = "External"/>
	<Relationship Id="rId30" Type="http://schemas.openxmlformats.org/officeDocument/2006/relationships/hyperlink" Target="consultantplus://offline/ref=846D6F719434A6F99232E1D4D02B557FAA3E12A17E817BDC3D8515EB4AA875C9326B6A969E26ADBCF60BAA20W1i8N" TargetMode = "External"/>
	<Relationship Id="rId31" Type="http://schemas.openxmlformats.org/officeDocument/2006/relationships/hyperlink" Target="consultantplus://offline/ref=846D6F719434A6F99232E1D4D02B557FA23A14AF7F8C26D635DC19E94DA72ACC357A6A959B38ACBDE802FE735E2DD27DA1F7621A3525A37FWDiFN" TargetMode = "External"/>
	<Relationship Id="rId32" Type="http://schemas.openxmlformats.org/officeDocument/2006/relationships/hyperlink" Target="consultantplus://offline/ref=846D6F719434A6F99232E1D4D02B557FA23A14AF7F8C26D635DC19E94DA72ACC357A6A959B3EA9B9E902FE735E2DD27DA1F7621A3525A37FWDiFN" TargetMode = "External"/>
	<Relationship Id="rId33" Type="http://schemas.openxmlformats.org/officeDocument/2006/relationships/hyperlink" Target="consultantplus://offline/ref=846D6F719434A6F99232E1D4D02B557FA23A14AF7F8C26D635DC19E94DA72ACC357A6A959B3EA9B9EB02FE735E2DD27DA1F7621A3525A37FWDiFN" TargetMode = "External"/>
	<Relationship Id="rId34" Type="http://schemas.openxmlformats.org/officeDocument/2006/relationships/hyperlink" Target="consultantplus://offline/ref=846D6F719434A6F99232E1D4D02B557FA23A14AF7F8C26D635DC19E94DA72ACC357A6A959B3EA9B9EC02FE735E2DD27DA1F7621A3525A37FWDiFN" TargetMode = "External"/>
	<Relationship Id="rId35" Type="http://schemas.openxmlformats.org/officeDocument/2006/relationships/hyperlink" Target="consultantplus://offline/ref=846D6F719434A6F99232E1D4D02B557FA13813A4768A26D635DC19E94DA72ACC277A3299993DB2BDE817A82218W7iAN" TargetMode = "External"/>
	<Relationship Id="rId36" Type="http://schemas.openxmlformats.org/officeDocument/2006/relationships/hyperlink" Target="consultantplus://offline/ref=846D6F719434A6F99232E1D4D02B557FA13813A4768A26D635DC19E94DA72ACC357A6A959B3AAFB9E102FE735E2DD27DA1F7621A3525A37FWDiFN" TargetMode = "External"/>
	<Relationship Id="rId37" Type="http://schemas.openxmlformats.org/officeDocument/2006/relationships/hyperlink" Target="consultantplus://offline/ref=846D6F719434A6F99232E1D4D02B557FA03117A5758D26D635DC19E94DA72ACC277A3299993DB2BDE817A82218W7iAN" TargetMode = "External"/>
	<Relationship Id="rId38" Type="http://schemas.openxmlformats.org/officeDocument/2006/relationships/hyperlink" Target="consultantplus://offline/ref=846D6F719434A6F99232E1D4D02B557FA03117A5758D26D635DC19E94DA72ACC357A6A959B38A8BBE802FE735E2DD27DA1F7621A3525A37FWDiFN" TargetMode = "External"/>
	<Relationship Id="rId39" Type="http://schemas.openxmlformats.org/officeDocument/2006/relationships/hyperlink" Target="consultantplus://offline/ref=846D6F719434A6F99232E1D4D02B557FAA3E12A17E817BDC3D8515EB4AA875C9326B6A969E26ADBCF60BAA20W1i8N" TargetMode = "External"/>
	<Relationship Id="rId40" Type="http://schemas.openxmlformats.org/officeDocument/2006/relationships/hyperlink" Target="consultantplus://offline/ref=846D6F719434A6F99232E1D4D02B557FA23A14AF7F8C26D635DC19E94DA72ACC357A6A959B38ACBDE802FE735E2DD27DA1F7621A3525A37FWDiFN" TargetMode = "External"/>
	<Relationship Id="rId41" Type="http://schemas.openxmlformats.org/officeDocument/2006/relationships/hyperlink" Target="consultantplus://offline/ref=846D6F719434A6F99232E1D4D02B557FA23A14AF7F8C26D635DC19E94DA72ACC357A6A959B3EA5BEED02FE735E2DD27DA1F7621A3525A37FWDiFN" TargetMode = "External"/>
	<Relationship Id="rId42" Type="http://schemas.openxmlformats.org/officeDocument/2006/relationships/hyperlink" Target="consultantplus://offline/ref=846D6F719434A6F99232E1D4D02B557FA13813A4768A26D635DC19E94DA72ACC277A3299993DB2BDE817A82218W7iAN" TargetMode = "External"/>
	<Relationship Id="rId43" Type="http://schemas.openxmlformats.org/officeDocument/2006/relationships/hyperlink" Target="consultantplus://offline/ref=846D6F719434A6F99232E1D4D02B557FA13813A4768A26D635DC19E94DA72ACC357A6A959B3AAFB9E102FE735E2DD27DA1F7621A3525A37FWDiFN" TargetMode = "External"/>
	<Relationship Id="rId44" Type="http://schemas.openxmlformats.org/officeDocument/2006/relationships/hyperlink" Target="consultantplus://offline/ref=846D6F719434A6F99232E1D4D02B557FAA3014AF7DDC71D4648917EC45F770DC233365918539ACA2EA09A8W2i0N" TargetMode = "External"/>
	<Relationship Id="rId45" Type="http://schemas.openxmlformats.org/officeDocument/2006/relationships/hyperlink" Target="consultantplus://offline/ref=846D6F719434A6F99232E1D4D02B557FA03117A5758D26D635DC19E94DA72ACC277A3299993DB2BDE817A82218W7iAN" TargetMode = "External"/>
	<Relationship Id="rId46" Type="http://schemas.openxmlformats.org/officeDocument/2006/relationships/hyperlink" Target="consultantplus://offline/ref=846D6F719434A6F99232E1D4D02B557FA73B19AF738E26D635DC19E94DA72ACC277A3299993DB2BDE817A82218W7iAN" TargetMode = "External"/>
	<Relationship Id="rId47" Type="http://schemas.openxmlformats.org/officeDocument/2006/relationships/hyperlink" Target="consultantplus://offline/ref=846D6F719434A6F99232E1D4D02B557FA73B19A2768F26D635DC19E94DA72ACC357A6A959B39A4BAEF02FE735E2DD27DA1F7621A3525A37FWDiFN" TargetMode = "External"/>
	<Relationship Id="rId48" Type="http://schemas.openxmlformats.org/officeDocument/2006/relationships/hyperlink" Target="consultantplus://offline/ref=846D6F719434A6F99232E1D4D02B557FA73B19A2768F26D635DC19E94DA72ACC357A6A959B3AAABDEF02FE735E2DD27DA1F7621A3525A37FWDiFN" TargetMode = "External"/>
	<Relationship Id="rId49" Type="http://schemas.openxmlformats.org/officeDocument/2006/relationships/hyperlink" Target="consultantplus://offline/ref=846D6F719434A6F99232E1D4D02B557FA03E14A5738826D635DC19E94DA72ACC277A3299993DB2BDE817A82218W7iAN" TargetMode = "External"/>
	<Relationship Id="rId50" Type="http://schemas.openxmlformats.org/officeDocument/2006/relationships/hyperlink" Target="consultantplus://offline/ref=846D6F719434A6F99232E1D4D02B557FA73918A6738D26D635DC19E94DA72ACC277A3299993DB2BDE817A82218W7iAN" TargetMode = "External"/>
	<Relationship Id="rId51" Type="http://schemas.openxmlformats.org/officeDocument/2006/relationships/hyperlink" Target="consultantplus://offline/ref=846D6F719434A6F99232E1D4D02B557FAA3E12A17E817BDC3D8515EB4AA875C9326B6A969E26ADBCF60BAA20W1i8N" TargetMode = "External"/>
	<Relationship Id="rId52" Type="http://schemas.openxmlformats.org/officeDocument/2006/relationships/hyperlink" Target="consultantplus://offline/ref=846D6F719434A6F99232E1D4D02B557FA23A14AF7F8C26D635DC19E94DA72ACC357A6A959B38ACBDE802FE735E2DD27DA1F7621A3525A37FWDiFN" TargetMode = "External"/>
	<Relationship Id="rId53" Type="http://schemas.openxmlformats.org/officeDocument/2006/relationships/hyperlink" Target="consultantplus://offline/ref=846D6F719434A6F99232E1D4D02B557FA13813A4768A26D635DC19E94DA72ACC277A3299993DB2BDE817A82218W7iAN" TargetMode = "External"/>
	<Relationship Id="rId54" Type="http://schemas.openxmlformats.org/officeDocument/2006/relationships/hyperlink" Target="consultantplus://offline/ref=846D6F719434A6F99232E1D4D02B557FA73B13A2748226D635DC19E94DA72ACC277A3299993DB2BDE817A82218W7iAN" TargetMode = "External"/>
	<Relationship Id="rId55" Type="http://schemas.openxmlformats.org/officeDocument/2006/relationships/hyperlink" Target="consultantplus://offline/ref=846D6F719434A6F99232E8C6D22B557FA03F15A673817BDC3D8515EB4AA875C9326B6A969E26ADBCF60BAA20W1i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22.09.2021 N 652н
"Об утверждении профессионального стандарта "Педагог дополнительного образования детей и взрослых"
(Зарегистрировано в Минюсте России 17.12.2021 N 66403)</dc:title>
  <dcterms:created xsi:type="dcterms:W3CDTF">2022-10-25T13:34:20Z</dcterms:created>
</cp:coreProperties>
</file>